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675" w:lineRule="atLeast"/>
        <w:ind w:left="-226" w:right="-226"/>
        <w:jc w:val="center"/>
        <w:rPr>
          <w:rFonts w:hint="eastAsia" w:ascii="微软雅黑" w:hAnsi="微软雅黑" w:eastAsia="微软雅黑" w:cs="微软雅黑"/>
          <w:b/>
          <w:color w:val="B80101"/>
          <w:kern w:val="0"/>
          <w:sz w:val="36"/>
          <w:szCs w:val="36"/>
          <w:shd w:val="clear" w:fill="FFFFFF"/>
          <w:lang w:val="en-US" w:eastAsia="zh-CN" w:bidi="ar"/>
        </w:rPr>
      </w:pPr>
      <w:r>
        <w:rPr>
          <w:rFonts w:hint="eastAsia" w:ascii="微软雅黑" w:hAnsi="微软雅黑" w:eastAsia="微软雅黑" w:cs="微软雅黑"/>
          <w:b/>
          <w:color w:val="B80101"/>
          <w:kern w:val="0"/>
          <w:sz w:val="36"/>
          <w:szCs w:val="36"/>
          <w:shd w:val="clear" w:fill="FFFFFF"/>
          <w:lang w:val="en-US" w:eastAsia="zh-CN" w:bidi="ar"/>
        </w:rPr>
        <w:t xml:space="preserve">习近平：学党史悟思想办实事开新局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675" w:lineRule="atLeast"/>
        <w:ind w:left="-226" w:right="-226"/>
        <w:jc w:val="center"/>
        <w:rPr>
          <w:rFonts w:hint="eastAsia" w:ascii="微软雅黑" w:hAnsi="微软雅黑" w:eastAsia="微软雅黑" w:cs="微软雅黑"/>
          <w:b/>
          <w:color w:val="B80101"/>
          <w:kern w:val="0"/>
          <w:sz w:val="36"/>
          <w:szCs w:val="36"/>
          <w:shd w:val="clear" w:fill="FFFFFF"/>
          <w:lang w:val="en-US" w:eastAsia="zh-CN" w:bidi="ar"/>
        </w:rPr>
      </w:pPr>
      <w:r>
        <w:rPr>
          <w:rFonts w:hint="eastAsia" w:ascii="微软雅黑" w:hAnsi="微软雅黑" w:eastAsia="微软雅黑" w:cs="微软雅黑"/>
          <w:b/>
          <w:color w:val="B80101"/>
          <w:kern w:val="0"/>
          <w:sz w:val="36"/>
          <w:szCs w:val="36"/>
          <w:shd w:val="clear" w:fill="FFFFFF"/>
          <w:lang w:val="en-US" w:eastAsia="zh-CN" w:bidi="ar"/>
        </w:rPr>
        <w:t>以优异成绩迎接建党一百周年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675" w:lineRule="atLeast"/>
        <w:ind w:left="-226" w:right="-226"/>
        <w:jc w:val="center"/>
        <w:rPr>
          <w:rFonts w:hint="eastAsia" w:ascii="微软雅黑" w:hAnsi="微软雅黑" w:eastAsia="微软雅黑" w:cs="微软雅黑"/>
          <w:b/>
          <w:color w:val="B80101"/>
          <w:kern w:val="0"/>
          <w:sz w:val="36"/>
          <w:szCs w:val="36"/>
          <w:shd w:val="clear" w:fill="FFFFFF"/>
          <w:lang w:val="en-US" w:eastAsia="zh-CN" w:bidi="ar"/>
        </w:rPr>
      </w:pP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新华社北京2月20日电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中共中央政治局常委李克强、栗战书、汪洋、赵乐际、韩正，国家副主席王岐山出席会议，中共中央政治局常委王沪宁主持会议。</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相应</w:t>
      </w:r>
      <w:bookmarkStart w:id="0" w:name="_GoBack"/>
      <w:bookmarkEnd w:id="0"/>
      <w:r>
        <w:rPr>
          <w:rFonts w:hint="eastAsia" w:ascii="仿宋" w:hAnsi="仿宋" w:eastAsia="仿宋" w:cs="仿宋"/>
          <w:color w:val="333333"/>
          <w:sz w:val="30"/>
          <w:szCs w:val="30"/>
          <w:shd w:val="clear" w:fill="FFFFFF"/>
        </w:rPr>
        <w:t>的战略策略，增强工作的系统性、预见性、创造性。</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中共中央政治局委员、中央书记处书记，全国人大常委会党员副委员长，国务委员，最高人民法院院长，最高人民检察院检察长，全国政协党员副主席，以及中央军委委员出席会议。</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 </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right="-226" w:firstLine="639" w:firstLineChars="213"/>
        <w:textAlignment w:val="auto"/>
        <w:rPr>
          <w:rFonts w:hint="eastAsia" w:ascii="仿宋" w:hAnsi="仿宋" w:eastAsia="仿宋" w:cs="仿宋"/>
          <w:sz w:val="30"/>
          <w:szCs w:val="30"/>
        </w:rPr>
      </w:pPr>
      <w:r>
        <w:rPr>
          <w:rFonts w:hint="eastAsia" w:ascii="仿宋" w:hAnsi="仿宋" w:eastAsia="仿宋" w:cs="仿宋"/>
          <w:color w:val="333333"/>
          <w:sz w:val="30"/>
          <w:szCs w:val="30"/>
          <w:shd w:val="clear" w:fill="FFFFFF"/>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pPr>
        <w:keepNext w:val="0"/>
        <w:keepLines w:val="0"/>
        <w:pageBreakBefore w:val="0"/>
        <w:kinsoku/>
        <w:overflowPunct/>
        <w:topLinePunct w:val="0"/>
        <w:autoSpaceDE/>
        <w:autoSpaceDN/>
        <w:bidi w:val="0"/>
        <w:adjustRightInd/>
        <w:snapToGrid/>
        <w:spacing w:line="500" w:lineRule="exact"/>
        <w:ind w:left="0" w:leftChars="0" w:firstLine="639" w:firstLineChars="213"/>
        <w:textAlignment w:val="auto"/>
        <w:rPr>
          <w:rFonts w:hint="eastAsia" w:ascii="仿宋" w:hAnsi="仿宋" w:eastAsia="仿宋" w:cs="仿宋"/>
          <w:sz w:val="30"/>
          <w:szCs w:val="30"/>
        </w:rPr>
      </w:pPr>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OTI0MDI0ZDAyMTVlYzMxNTQzMjQ3ZDZhZTA0ZGMifQ=="/>
  </w:docVars>
  <w:rsids>
    <w:rsidRoot w:val="2FEE5E7F"/>
    <w:rsid w:val="0D874348"/>
    <w:rsid w:val="2FEE5E7F"/>
    <w:rsid w:val="4B985A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uiPriority w:val="0"/>
    <w:rPr>
      <w:i/>
    </w:rPr>
  </w:style>
  <w:style w:type="character" w:styleId="8">
    <w:name w:val="Hyperlink"/>
    <w:basedOn w:val="4"/>
    <w:qFormat/>
    <w:uiPriority w:val="0"/>
    <w:rPr>
      <w:color w:val="333333"/>
      <w:u w:val="none"/>
      <w:shd w:val="clear" w:fill="F0AD4E"/>
    </w:rPr>
  </w:style>
  <w:style w:type="character" w:styleId="9">
    <w:name w:val="HTML Code"/>
    <w:basedOn w:val="4"/>
    <w:uiPriority w:val="0"/>
    <w:rPr>
      <w:rFonts w:hint="default" w:ascii="Consolas" w:hAnsi="Consolas" w:eastAsia="Consolas" w:cs="Consolas"/>
      <w:color w:val="C7254E"/>
      <w:sz w:val="21"/>
      <w:szCs w:val="21"/>
      <w:shd w:val="clear" w:fill="F9F2F4"/>
    </w:rPr>
  </w:style>
  <w:style w:type="character" w:styleId="10">
    <w:name w:val="HTML Keyboard"/>
    <w:basedOn w:val="4"/>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ascii="Consolas" w:hAnsi="Consolas" w:eastAsia="Consolas" w:cs="Consolas"/>
      <w:sz w:val="21"/>
      <w:szCs w:val="21"/>
    </w:rPr>
  </w:style>
  <w:style w:type="character" w:customStyle="1" w:styleId="12">
    <w:name w:val="item-name"/>
    <w:basedOn w:val="4"/>
    <w:uiPriority w:val="0"/>
  </w:style>
  <w:style w:type="character" w:customStyle="1" w:styleId="13">
    <w:name w:val="item-name1"/>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2021-03-09T03:00:00Z</dcterms:created>
  <dc:creator>Administrator</dc:creator>
  <cp:lastModifiedBy>米曦诺诺</cp:lastModifiedBy>
  <dcterms:modified xsi:type="dcterms:W3CDTF">2023-12-11T07:47:55Z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F546FAB55CE4411EA7DA81DCBB05FD56_13</vt:lpwstr>
  </property>
</Properties>
</file>